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i/>
          <w:color w:val="808080"/>
          <w:sz w:val="16"/>
        </w:rPr>
        <w:t>Данный файл: СПЕЦИФИКАЦИЯ v2, компания XXX003, к договору № 01300 от 12.03.2026.</w:t>
        <w:br/>
        <w:t>Версия 2: ревизия с изменениями.</w:t>
        <w:br/>
        <w:t>Содержит: 7 строк(и) услуг, итого 234 723,91 руб.</w:t>
        <w:br/>
        <w:t>Спецификация v2 (ревизия) к договору 01300. Изменения относительно v1: цена Аренда IPv4 адреса /32 147.51→134.25, удалена: Аренда стойко-места, добавлена: Организация L2 канала без резерва, в сос. 7 услуг, итого 234 723,91 руб.</w:t>
      </w:r>
    </w:p>
    <w:p>
      <w:pPr>
        <w:jc w:val="center"/>
      </w:pPr>
      <w:r>
        <w:rPr>
          <w:b/>
          <w:sz w:val="28"/>
        </w:rPr>
        <w:t>Приложение № 1</w:t>
      </w:r>
    </w:p>
    <w:p>
      <w:r>
        <w:t>к Договору на оказание технологических услуг № 01300 от 12.03.2026 г.</w:t>
      </w:r>
    </w:p>
    <w:p/>
    <w:p>
      <w:r>
        <w:rPr>
          <w:b/>
          <w:sz w:val="24"/>
        </w:rPr>
        <w:t>Спецификация и стоимость услуг</w:t>
      </w:r>
    </w:p>
    <w:p>
      <w:r>
        <w:t>Состав и стоимость Услуг</w:t>
      </w:r>
    </w:p>
    <w:p>
      <w:r>
        <w:t>Абонентские услуги с 20.04.2026</w:t>
      </w:r>
    </w:p>
    <w:p>
      <w:r>
        <w:t>Общая стоимость Ежемесячных услуг составляет 234 723,91 руб.</w:t>
      </w:r>
    </w:p>
    <w:p>
      <w:r>
        <w:t>Абонентские услуги с 20.04.2026: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№ п/п</w:t>
            </w:r>
          </w:p>
        </w:tc>
        <w:tc>
          <w:tcPr>
            <w:tcW w:type="dxa" w:w="1234"/>
          </w:tcPr>
          <w:p>
            <w:r>
              <w:t>Наименование услуг</w:t>
            </w:r>
          </w:p>
        </w:tc>
        <w:tc>
          <w:tcPr>
            <w:tcW w:type="dxa" w:w="1234"/>
          </w:tcPr>
          <w:p>
            <w:r>
              <w:t>Цена, руб. с НДС</w:t>
            </w:r>
          </w:p>
        </w:tc>
        <w:tc>
          <w:tcPr>
            <w:tcW w:type="dxa" w:w="1234"/>
          </w:tcPr>
          <w:p>
            <w:r>
              <w:t>Объем услуг</w:t>
            </w:r>
          </w:p>
        </w:tc>
        <w:tc>
          <w:tcPr>
            <w:tcW w:type="dxa" w:w="1234"/>
          </w:tcPr>
          <w:p>
            <w:r>
              <w:t>Сумма, руб. с НДС</w:t>
            </w:r>
          </w:p>
        </w:tc>
        <w:tc>
          <w:tcPr>
            <w:tcW w:type="dxa" w:w="1234"/>
          </w:tcPr>
          <w:p>
            <w:r>
              <w:t>Планируемая дата начала оказания услуг</w:t>
            </w:r>
          </w:p>
        </w:tc>
        <w:tc>
          <w:tcPr>
            <w:tcW w:type="dxa" w:w="1234"/>
          </w:tcPr>
          <w:p>
            <w:r>
              <w:t>Дата окончания оказания услуг</w:t>
            </w:r>
          </w:p>
        </w:tc>
      </w:tr>
      <w:tr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Next Generation Cloud (AMD 4.0 ГГц), в составе:</w:t>
              <w:br/>
              <w:t xml:space="preserve">        Количество vCPU: 4, RAM: 16 ГБ</w:t>
            </w:r>
          </w:p>
        </w:tc>
        <w:tc>
          <w:tcPr>
            <w:tcW w:type="dxa" w:w="1234"/>
          </w:tcPr>
          <w:p>
            <w:r>
              <w:t>133 119,69</w:t>
            </w:r>
          </w:p>
        </w:tc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133 119,69</w:t>
            </w:r>
          </w:p>
        </w:tc>
        <w:tc>
          <w:tcPr>
            <w:tcW w:type="dxa" w:w="1234"/>
          </w:tcPr>
          <w:p>
            <w:r>
              <w:t>30.05.2026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Интернет без защиты от DDoS, в составе:</w:t>
              <w:br/>
              <w:t xml:space="preserve">        Полоса Интернет: 100 Мбит/с</w:t>
            </w:r>
          </w:p>
        </w:tc>
        <w:tc>
          <w:tcPr>
            <w:tcW w:type="dxa" w:w="1234"/>
          </w:tcPr>
          <w:p>
            <w:r>
              <w:t>5 639,68</w:t>
            </w:r>
          </w:p>
        </w:tc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11 279,36</w:t>
            </w:r>
          </w:p>
        </w:tc>
        <w:tc>
          <w:tcPr>
            <w:tcW w:type="dxa" w:w="1234"/>
          </w:tcPr>
          <w:p>
            <w:r>
              <w:t>11.05.2026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Аренда IPv4 адреса /32</w:t>
            </w:r>
          </w:p>
        </w:tc>
        <w:tc>
          <w:tcPr>
            <w:tcW w:type="dxa" w:w="1234"/>
          </w:tcPr>
          <w:p>
            <w:r>
              <w:t>134,25</w:t>
            </w:r>
          </w:p>
        </w:tc>
        <w:tc>
          <w:tcPr>
            <w:tcW w:type="dxa" w:w="1234"/>
          </w:tcPr>
          <w:p>
            <w:r>
              <w:t>12</w:t>
            </w:r>
          </w:p>
        </w:tc>
        <w:tc>
          <w:tcPr>
            <w:tcW w:type="dxa" w:w="1234"/>
          </w:tcPr>
          <w:p>
            <w:r>
              <w:t>1 611,00</w:t>
            </w:r>
          </w:p>
        </w:tc>
        <w:tc>
          <w:tcPr>
            <w:tcW w:type="dxa" w:w="1234"/>
          </w:tcPr>
          <w:p>
            <w:r>
              <w:t>19.04.2026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Организация cross-connect: ВОЛС, 2×SMF</w:t>
            </w:r>
          </w:p>
        </w:tc>
        <w:tc>
          <w:tcPr>
            <w:tcW w:type="dxa" w:w="1234"/>
          </w:tcPr>
          <w:p>
            <w:r>
              <w:t>3 517,39</w:t>
            </w:r>
          </w:p>
        </w:tc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14 069,56</w:t>
            </w:r>
          </w:p>
        </w:tc>
        <w:tc>
          <w:tcPr>
            <w:tcW w:type="dxa" w:w="1234"/>
          </w:tcPr>
          <w:p>
            <w:r>
              <w:t>05.05.2026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5</w:t>
            </w:r>
          </w:p>
        </w:tc>
        <w:tc>
          <w:tcPr>
            <w:tcW w:type="dxa" w:w="1234"/>
          </w:tcPr>
          <w:p>
            <w:r>
              <w:t>Аренда PDU: 3Ф 32А вертикальный</w:t>
            </w:r>
          </w:p>
        </w:tc>
        <w:tc>
          <w:tcPr>
            <w:tcW w:type="dxa" w:w="1234"/>
          </w:tcPr>
          <w:p>
            <w:r>
              <w:t>2 110,33</w:t>
            </w:r>
          </w:p>
        </w:tc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8 441,32</w:t>
            </w:r>
          </w:p>
        </w:tc>
        <w:tc>
          <w:tcPr>
            <w:tcW w:type="dxa" w:w="1234"/>
          </w:tcPr>
          <w:p>
            <w:r>
              <w:t>22.05.2026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6</w:t>
            </w:r>
          </w:p>
        </w:tc>
        <w:tc>
          <w:tcPr>
            <w:tcW w:type="dxa" w:w="1234"/>
          </w:tcPr>
          <w:p>
            <w:r>
              <w:t>Организация L2 канала без резерва, в составе:</w:t>
              <w:br/>
              <w:t xml:space="preserve">        Скорость порта: 10 Гбит/с</w:t>
            </w:r>
          </w:p>
        </w:tc>
        <w:tc>
          <w:tcPr>
            <w:tcW w:type="dxa" w:w="1234"/>
          </w:tcPr>
          <w:p>
            <w:r>
              <w:t>23 503,95</w:t>
            </w:r>
          </w:p>
        </w:tc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47 007,90</w:t>
            </w:r>
          </w:p>
        </w:tc>
        <w:tc>
          <w:tcPr>
            <w:tcW w:type="dxa" w:w="1234"/>
          </w:tcPr>
          <w:p>
            <w:r>
              <w:t>14.04.2026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7</w:t>
            </w:r>
          </w:p>
        </w:tc>
        <w:tc>
          <w:tcPr>
            <w:tcW w:type="dxa" w:w="1234"/>
          </w:tcPr>
          <w:p>
            <w:r>
              <w:t>Организация L2 канала без резерва, в составе:</w:t>
              <w:br/>
              <w:t xml:space="preserve">        Скорость порта: 1 Гбит/с</w:t>
            </w:r>
          </w:p>
        </w:tc>
        <w:tc>
          <w:tcPr>
            <w:tcW w:type="dxa" w:w="1234"/>
          </w:tcPr>
          <w:p>
            <w:r>
              <w:t>9 597,54</w:t>
            </w:r>
          </w:p>
        </w:tc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19 195,08</w:t>
            </w:r>
          </w:p>
        </w:tc>
        <w:tc>
          <w:tcPr>
            <w:tcW w:type="dxa" w:w="1234"/>
          </w:tcPr>
          <w:p>
            <w:r>
              <w:t>11.05.2026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Итого абонентские услуги с 20.04.2026 в руб с учетом НДС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234 723,91</w:t>
            </w:r>
          </w:p>
        </w:tc>
        <w:tc>
          <w:tcPr>
            <w:tcW w:type="dxa" w:w="1234"/>
          </w:tcPr>
          <w:p>
            <w:r>
              <w:t>-</w:t>
            </w:r>
          </w:p>
        </w:tc>
        <w:tc>
          <w:tcPr>
            <w:tcW w:type="dxa" w:w="1234"/>
          </w:tcPr>
          <w:p>
            <w:r>
              <w:t>-</w:t>
            </w:r>
          </w:p>
        </w:tc>
      </w:tr>
    </w:tbl>
    <w:p/>
    <w:p>
      <w:r>
        <w:t>г. Москва 12.03.2026г.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