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XXX004, к договору № 04100 от 22.02.2026.</w:t>
        <w:br/>
        <w:t>Версия 2: ревизия с изменениями.</w:t>
        <w:br/>
        <w:t>Содержит: 5 строк(и) услуг, итого 231 658,12 руб.</w:t>
        <w:br/>
        <w:t>Спецификация v2 (ревизия) к договору 04100. Изменения относительно v1: цена Организация cross-connect: UTP 831.7→903.09, удалена: Организация L2 канала без резерва, в сос, добавлена: Аренда порта без резерва, в составе:</w:t>
        <w:br/>
        <w:t xml:space="preserve">   . 5 услуг, итого 231 658,12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04100 от 22.02.2026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08.04.2026</w:t>
      </w:r>
    </w:p>
    <w:p>
      <w:r>
        <w:t>Общая стоимость Ежемесячных услуг составляет 231 658,12 руб.</w:t>
      </w:r>
    </w:p>
    <w:p>
      <w:r>
        <w:t>Абонентские услуги с 08.04.2026: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507,72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1 015,44</w:t>
            </w:r>
          </w:p>
        </w:tc>
        <w:tc>
          <w:tcPr>
            <w:tcW w:type="dxa" w:w="1234"/>
          </w:tcPr>
          <w:p>
            <w:r>
              <w:t>25.05.2026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903,09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3 612,36</w:t>
            </w:r>
          </w:p>
        </w:tc>
        <w:tc>
          <w:tcPr>
            <w:tcW w:type="dxa" w:w="1234"/>
          </w:tcPr>
          <w:p>
            <w:r>
              <w:t>04.04.2026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25 005,67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25 005,67</w:t>
            </w:r>
          </w:p>
        </w:tc>
        <w:tc>
          <w:tcPr>
            <w:tcW w:type="dxa" w:w="1234"/>
          </w:tcPr>
          <w:p>
            <w:r>
              <w:t>06.05.2026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66 085,95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198 257,85</w:t>
            </w:r>
          </w:p>
        </w:tc>
        <w:tc>
          <w:tcPr>
            <w:tcW w:type="dxa" w:w="1234"/>
          </w:tcPr>
          <w:p>
            <w:r>
              <w:t>27.04.2026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1 255,60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3 766,80</w:t>
            </w:r>
          </w:p>
        </w:tc>
        <w:tc>
          <w:tcPr>
            <w:tcW w:type="dxa" w:w="1234"/>
          </w:tcPr>
          <w:p>
            <w:r>
              <w:t>10.05.2026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08.04.2026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231 658,12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22.02.2026г.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