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XXX002, к договору № 01200 от 25.06.2026.</w:t>
        <w:br/>
        <w:t>Версия 2: ревизия с изменениями.</w:t>
        <w:br/>
        <w:t>Содержит: 5 строк(и) услуг, итого 429 615,68 руб.</w:t>
        <w:br/>
        <w:t>Спецификация v2 (ревизия) к договору 01200. Изменения относительно v1: цена Аренда порта без резерва, в составе:</w:t>
        <w:br/>
        <w:t xml:space="preserve">    1811.72→2092.5, удалена: Аренда IPv4 адреса /32, добавлена: Аренда IPv4 подсети /30. 5 услуг, итого 429 615,68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01200 от 25.06.2026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14.05.2026</w:t>
      </w:r>
    </w:p>
    <w:p>
      <w:r>
        <w:t>Общая стоимость Ежемесячных услуг составляет 429 615,68 руб.</w:t>
      </w:r>
    </w:p>
    <w:p>
      <w:r>
        <w:t>Абонентские услуги с 14.05.2026: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84 714,59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169 429,18</w:t>
            </w:r>
          </w:p>
        </w:tc>
        <w:tc>
          <w:tcPr>
            <w:tcW w:type="dxa" w:w="1234"/>
          </w:tcPr>
          <w:p>
            <w:r>
              <w:t>28.03.2026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2 620,72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5 241,44</w:t>
            </w:r>
          </w:p>
        </w:tc>
        <w:tc>
          <w:tcPr>
            <w:tcW w:type="dxa" w:w="1234"/>
          </w:tcPr>
          <w:p>
            <w:r>
              <w:t>03.03.2026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125 836,76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251 673,52</w:t>
            </w:r>
          </w:p>
        </w:tc>
        <w:tc>
          <w:tcPr>
            <w:tcW w:type="dxa" w:w="1234"/>
          </w:tcPr>
          <w:p>
            <w:r>
              <w:t>25.04.2026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2 092,50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2 092,50</w:t>
            </w:r>
          </w:p>
        </w:tc>
        <w:tc>
          <w:tcPr>
            <w:tcW w:type="dxa" w:w="1234"/>
          </w:tcPr>
          <w:p>
            <w:r>
              <w:t>24.03.2026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589,52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1 179,04</w:t>
            </w:r>
          </w:p>
        </w:tc>
        <w:tc>
          <w:tcPr>
            <w:tcW w:type="dxa" w:w="1234"/>
          </w:tcPr>
          <w:p>
            <w:r>
              <w:t>15.04.2026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14.05.2026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429 615,68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25.06.2026г.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